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F2" w:rsidRDefault="002808F2" w:rsidP="00C22555">
      <w:pPr>
        <w:tabs>
          <w:tab w:val="left" w:pos="0"/>
          <w:tab w:val="left" w:pos="10206"/>
        </w:tabs>
        <w:ind w:firstLine="0"/>
        <w:jc w:val="center"/>
        <w:rPr>
          <w:b/>
          <w:sz w:val="24"/>
          <w:szCs w:val="24"/>
        </w:rPr>
      </w:pPr>
      <w:r>
        <w:rPr>
          <w:b/>
          <w:sz w:val="24"/>
          <w:szCs w:val="24"/>
        </w:rPr>
        <w:t>ОГОЛОШЕННЯ</w:t>
      </w:r>
    </w:p>
    <w:p w:rsidR="00C22555" w:rsidRPr="00167BE1" w:rsidRDefault="002808F2" w:rsidP="00C22555">
      <w:pPr>
        <w:tabs>
          <w:tab w:val="left" w:pos="0"/>
          <w:tab w:val="left" w:pos="10206"/>
        </w:tabs>
        <w:ind w:firstLine="0"/>
        <w:jc w:val="center"/>
        <w:rPr>
          <w:b/>
          <w:sz w:val="24"/>
          <w:szCs w:val="24"/>
        </w:rPr>
      </w:pPr>
      <w:r>
        <w:rPr>
          <w:b/>
          <w:sz w:val="24"/>
          <w:szCs w:val="24"/>
        </w:rPr>
        <w:t>про добір на вакантну</w:t>
      </w:r>
      <w:r w:rsidR="00C22555" w:rsidRPr="00C22555">
        <w:rPr>
          <w:b/>
          <w:sz w:val="24"/>
          <w:szCs w:val="24"/>
        </w:rPr>
        <w:t xml:space="preserve"> посад</w:t>
      </w:r>
      <w:r>
        <w:rPr>
          <w:b/>
          <w:sz w:val="24"/>
          <w:szCs w:val="24"/>
        </w:rPr>
        <w:t>у</w:t>
      </w:r>
      <w:r w:rsidR="00C22555" w:rsidRPr="00C22555">
        <w:rPr>
          <w:b/>
          <w:sz w:val="24"/>
          <w:szCs w:val="24"/>
        </w:rPr>
        <w:t xml:space="preserve">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Pr>
          <w:b/>
          <w:sz w:val="24"/>
          <w:szCs w:val="24"/>
        </w:rPr>
        <w:t>Рівне</w:t>
      </w:r>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2808F2">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2808F2">
              <w:rPr>
                <w:sz w:val="24"/>
                <w:szCs w:val="24"/>
              </w:rPr>
              <w:t>Рівне</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2808F2">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sidR="002808F2">
              <w:rPr>
                <w:b/>
                <w:color w:val="000000"/>
                <w:sz w:val="24"/>
                <w:szCs w:val="24"/>
                <w:lang w:val="uk-UA"/>
              </w:rPr>
              <w:t>5</w:t>
            </w:r>
            <w:r w:rsidR="0075421F" w:rsidRPr="007B239E">
              <w:rPr>
                <w:b/>
                <w:color w:val="000000"/>
                <w:sz w:val="24"/>
                <w:szCs w:val="24"/>
              </w:rPr>
              <w:t xml:space="preserve"> год. 00 хв. </w:t>
            </w:r>
            <w:r w:rsidR="002808F2">
              <w:rPr>
                <w:b/>
                <w:color w:val="000000"/>
                <w:sz w:val="24"/>
                <w:szCs w:val="24"/>
                <w:lang w:val="uk-UA"/>
              </w:rPr>
              <w:t>02 листопада</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9C5F79" w:rsidP="00CB3326">
            <w:pPr>
              <w:pStyle w:val="rvps14"/>
              <w:spacing w:before="0" w:beforeAutospacing="0" w:after="0" w:afterAutospacing="0"/>
              <w:ind w:right="128"/>
              <w:jc w:val="both"/>
            </w:pPr>
            <w:r>
              <w:t>31</w:t>
            </w:r>
            <w:r w:rsidR="00F828B7">
              <w:t xml:space="preserve"> </w:t>
            </w:r>
            <w:r>
              <w:t>травня</w:t>
            </w:r>
            <w:r w:rsidR="00CB3326" w:rsidRPr="00CB3326">
              <w:t xml:space="preserve"> 202</w:t>
            </w:r>
            <w:r>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2808F2">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 xml:space="preserve">вища освіта за освітнім ступенем не нижче </w:t>
            </w:r>
            <w:r w:rsidR="002808F2">
              <w:rPr>
                <w:b/>
                <w:color w:val="000000"/>
                <w:sz w:val="24"/>
                <w:szCs w:val="24"/>
              </w:rPr>
              <w:t>магістра/спеціаліста</w:t>
            </w:r>
            <w:r w:rsidRPr="00490AE1">
              <w:rPr>
                <w:b/>
                <w:color w:val="000000"/>
                <w:sz w:val="24"/>
                <w:szCs w:val="24"/>
              </w:rPr>
              <w:t xml:space="preserve">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221714"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077" w:rsidRDefault="00FC7077" w:rsidP="00E42C9D">
      <w:r>
        <w:separator/>
      </w:r>
    </w:p>
  </w:endnote>
  <w:endnote w:type="continuationSeparator" w:id="1">
    <w:p w:rsidR="00FC7077" w:rsidRDefault="00FC7077"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077" w:rsidRDefault="00FC7077" w:rsidP="00E42C9D">
      <w:r>
        <w:separator/>
      </w:r>
    </w:p>
  </w:footnote>
  <w:footnote w:type="continuationSeparator" w:id="1">
    <w:p w:rsidR="00FC7077" w:rsidRDefault="00FC7077"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21714"/>
    <w:rsid w:val="00254C4E"/>
    <w:rsid w:val="002808F2"/>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F3E66"/>
    <w:rsid w:val="008405A1"/>
    <w:rsid w:val="0084794A"/>
    <w:rsid w:val="00850FE8"/>
    <w:rsid w:val="00873D70"/>
    <w:rsid w:val="008757EF"/>
    <w:rsid w:val="008907D3"/>
    <w:rsid w:val="00895281"/>
    <w:rsid w:val="009070FF"/>
    <w:rsid w:val="009851CB"/>
    <w:rsid w:val="009C5F79"/>
    <w:rsid w:val="009E2BB3"/>
    <w:rsid w:val="00A10803"/>
    <w:rsid w:val="00A11BA9"/>
    <w:rsid w:val="00A43AC2"/>
    <w:rsid w:val="00A95524"/>
    <w:rsid w:val="00AA0A65"/>
    <w:rsid w:val="00AC4CFA"/>
    <w:rsid w:val="00B14975"/>
    <w:rsid w:val="00B526E9"/>
    <w:rsid w:val="00B711D2"/>
    <w:rsid w:val="00BF7DED"/>
    <w:rsid w:val="00C14E88"/>
    <w:rsid w:val="00C21916"/>
    <w:rsid w:val="00C22555"/>
    <w:rsid w:val="00C26C4E"/>
    <w:rsid w:val="00C37185"/>
    <w:rsid w:val="00C57C89"/>
    <w:rsid w:val="00C92961"/>
    <w:rsid w:val="00CA12C5"/>
    <w:rsid w:val="00CB3326"/>
    <w:rsid w:val="00CE04FA"/>
    <w:rsid w:val="00CE1782"/>
    <w:rsid w:val="00CE7899"/>
    <w:rsid w:val="00D14919"/>
    <w:rsid w:val="00D24D94"/>
    <w:rsid w:val="00D51D1E"/>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C7077"/>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7357</Words>
  <Characters>4195</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10</cp:revision>
  <cp:lastPrinted>2021-10-23T07:58:00Z</cp:lastPrinted>
  <dcterms:created xsi:type="dcterms:W3CDTF">2021-10-23T08:04:00Z</dcterms:created>
  <dcterms:modified xsi:type="dcterms:W3CDTF">2022-10-26T10:27:00Z</dcterms:modified>
</cp:coreProperties>
</file>